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none" w:sz="0" w:space="0" w:color="FFFFFF"/>
              <w:left w:val="none" w:sz="0" w:space="0" w:color="FFFFFF"/>
              <w:bottom w:val="none" w:sz="0" w:space="0" w:color="FFFFFF"/>
              <w:right w:val="none" w:sz="0" w:space="0" w:color="FFFFFF"/>
            </w:tcBorders>
            <w:shd w:val="clear" w:color="auto" w:fill="1F4E79"/>
            <w:tcMar>
              <w:top w:w="320" w:type="dxa"/>
              <w:left w:w="300" w:type="dxa"/>
              <w:bottom w:w="240" w:type="dxa"/>
              <w:right w:w="300" w:type="dxa"/>
            </w:tcMar>
          </w:tcPr>
          <w:p>
            <w:pPr>
              <w:spacing w:after="80"/>
            </w:pPr>
            <w:r>
              <w:rPr>
                <w:color w:val="90BFE0"/>
                <w:sz w:val="18"/>
                <w:szCs w:val="18"/>
              </w:rPr>
              <w:t xml:space="preserve">Multimedia Design and Creation for Educators</w:t>
            </w:r>
          </w:p>
          <w:p>
            <w:pPr>
              <w:spacing w:after="100"/>
            </w:pPr>
            <w:r>
              <w:rPr>
                <w:b/>
                <w:bCs/>
                <w:color w:val="FFFFFF"/>
                <w:sz w:val="38"/>
                <w:szCs w:val="38"/>
              </w:rPr>
              <w:t xml:space="preserve">Capstone Concept and Design Plan</w:t>
            </w:r>
          </w:p>
          <w:p>
            <w:r>
              <w:rPr>
                <w:color w:val="90BFE0"/>
                <w:sz w:val="20"/>
                <w:szCs w:val="20"/>
              </w:rPr>
              <w:t xml:space="preserve">Activity 1.5  |  Unit 1, Chapter 4</w:t>
            </w:r>
          </w:p>
        </w:tc>
      </w:tr>
    </w:tbl>
    <w:p>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single" w:sz="14" w:space="0" w:color="2E75B6"/>
              <w:left w:val="single" w:sz="4" w:space="0" w:color="2E75B6"/>
              <w:bottom w:val="single" w:sz="4" w:space="0" w:color="2E75B6"/>
              <w:right w:val="single" w:sz="4" w:space="0" w:color="2E75B6"/>
            </w:tcBorders>
            <w:shd w:val="clear" w:color="auto" w:fill="D6E4F0"/>
            <w:tcMar>
              <w:top w:w="160" w:type="dxa"/>
              <w:left w:w="220" w:type="dxa"/>
              <w:bottom w:w="160" w:type="dxa"/>
              <w:right w:w="220" w:type="dxa"/>
            </w:tcMar>
          </w:tcPr>
          <w:p>
            <w:r>
              <w:rPr>
                <w:b/>
                <w:bCs/>
                <w:color w:val="1F4E79"/>
                <w:sz w:val="20"/>
                <w:szCs w:val="20"/>
              </w:rPr>
              <w:t xml:space="preserve">About this template</w:t>
            </w:r>
          </w:p>
          <w:p>
            <w:pPr>
              <w:spacing w:before="80"/>
            </w:pPr>
          </w:p>
          <w:p>
            <w:pPr>
              <w:spacing w:before="80"/>
            </w:pPr>
            <w:r>
              <w:rPr>
                <w:sz w:val="20"/>
                <w:szCs w:val="20"/>
              </w:rPr>
              <w:t xml:space="preserve">This is the plan for your Capstone: the short multimedia teaching product you will build across Units 2 to 4 and complete in Unit 5. Nothing here is final. The format is provisional until the end of Unit 2, and you will come back to this document in every unit.</w:t>
            </w:r>
          </w:p>
          <w:p>
            <w:pPr>
              <w:spacing w:before="80"/>
            </w:pPr>
          </w:p>
          <w:p>
            <w:pPr>
              <w:spacing w:before="80"/>
            </w:pPr>
            <w:r>
              <w:rPr>
                <w:sz w:val="20"/>
                <w:szCs w:val="20"/>
              </w:rPr>
              <w:t xml:space="preserve">Complete Steps 1 to 6, check your work in Step 7, and upload the document to Activity 1.5. The shaded rows show Marta's plan from Chapter 4 as a worked example; you can refer to them or delete them.</w:t>
            </w:r>
          </w:p>
        </w:tc>
      </w:tr>
    </w:tbl>
    <w:p>
      <w:pPr>
        <w:spacing w:after="200"/>
      </w:pPr>
    </w:p>
    <w:p>
      <w:pPr>
        <w:pBdr>
          <w:top w:val="none" w:sz="0" w:space="0" w:color="FFFFFF"/>
          <w:left w:val="none" w:sz="0" w:space="0" w:color="FFFFFF"/>
          <w:bottom w:val="single" w:sz="12" w:space="1" w:color="2E75B6"/>
          <w:right w:val="none" w:sz="0" w:space="0" w:color="FFFFFF"/>
        </w:pBdr>
        <w:spacing w:before="300" w:after="100"/>
      </w:pPr>
      <w:r>
        <w:rPr>
          <w:b/>
          <w:bCs/>
          <w:color w:val="1F4E79"/>
          <w:sz w:val="26"/>
          <w:szCs w:val="26"/>
        </w:rPr>
        <w:t xml:space="preserve">Step 1: Teaching context</w:t>
      </w:r>
    </w:p>
    <w:p>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3319"/>
        <w:gridCol w:w="3319"/>
      </w:tblGrid>
      <w:tr>
        <w:trPr>
          <w:tblHeader/>
        </w:trPr>
        <w:tc>
          <w:tcPr>
            <w:tcW w:w="3000"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Field</w:t>
            </w:r>
          </w:p>
        </w:tc>
        <w:tc>
          <w:tcPr>
            <w:tcW w:w="3319"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Example (Marta)</w:t>
            </w:r>
          </w:p>
        </w:tc>
        <w:tc>
          <w:tcPr>
            <w:tcW w:w="3319"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Your plan</w:t>
            </w:r>
          </w:p>
        </w:tc>
      </w:tr>
      <w:tr>
        <w:trPr>
          <w:trHeight w:val="700"/>
        </w:trPr>
        <w:tc>
          <w:tcPr>
            <w:tcW w:w="30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Cycle and year</w:t>
            </w:r>
          </w:p>
        </w:tc>
        <w:tc>
          <w:tcPr>
            <w:tcW w:w="3319"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Secondary, S2</w:t>
            </w:r>
          </w:p>
        </w:tc>
        <w:tc>
          <w:tcPr>
            <w:tcW w:w="33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700"/>
        </w:trPr>
        <w:tc>
          <w:tcPr>
            <w:tcW w:w="30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Subject</w:t>
            </w:r>
          </w:p>
        </w:tc>
        <w:tc>
          <w:tcPr>
            <w:tcW w:w="3319"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Integrated Science</w:t>
            </w:r>
          </w:p>
        </w:tc>
        <w:tc>
          <w:tcPr>
            <w:tcW w:w="33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700"/>
        </w:trPr>
        <w:tc>
          <w:tcPr>
            <w:tcW w:w="30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Language section and language of the product</w:t>
            </w:r>
          </w:p>
        </w:tc>
        <w:tc>
          <w:tcPr>
            <w:tcW w:w="3319"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English section; product in English, several pupils learning in their second language</w:t>
            </w:r>
          </w:p>
        </w:tc>
        <w:tc>
          <w:tcPr>
            <w:tcW w:w="33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700"/>
        </w:trPr>
        <w:tc>
          <w:tcPr>
            <w:tcW w:w="30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Topic</w:t>
            </w:r>
          </w:p>
        </w:tc>
        <w:tc>
          <w:tcPr>
            <w:tcW w:w="3319"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Why we have seasons</w:t>
            </w:r>
          </w:p>
        </w:tc>
        <w:tc>
          <w:tcPr>
            <w:tcW w:w="33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700"/>
        </w:trPr>
        <w:tc>
          <w:tcPr>
            <w:tcW w:w="30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Target learners: who they are and what they already know or believe</w:t>
            </w:r>
          </w:p>
        </w:tc>
        <w:tc>
          <w:tcPr>
            <w:tcW w:w="3319"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12 to 13 year olds; most believe summer happens because the Earth is closer to the Sun</w:t>
            </w:r>
          </w:p>
        </w:tc>
        <w:tc>
          <w:tcPr>
            <w:tcW w:w="33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bl>
    <w:p>
      <w:pPr>
        <w:spacing w:after="200"/>
      </w:pPr>
    </w:p>
    <w:p>
      <w:pPr>
        <w:pBdr>
          <w:top w:val="none" w:sz="0" w:space="0" w:color="FFFFFF"/>
          <w:left w:val="none" w:sz="0" w:space="0" w:color="FFFFFF"/>
          <w:bottom w:val="single" w:sz="12" w:space="1" w:color="2E75B6"/>
          <w:right w:val="none" w:sz="0" w:space="0" w:color="FFFFFF"/>
        </w:pBdr>
        <w:spacing w:before="300" w:after="100"/>
      </w:pPr>
      <w:r>
        <w:rPr>
          <w:b/>
          <w:bCs/>
          <w:color w:val="1F4E79"/>
          <w:sz w:val="26"/>
          <w:szCs w:val="26"/>
        </w:rPr>
        <w:t xml:space="preserve">Step 2: Need and learning objective</w:t>
      </w:r>
    </w:p>
    <w:p>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3319"/>
        <w:gridCol w:w="3319"/>
      </w:tblGrid>
      <w:tr>
        <w:trPr>
          <w:tblHeader/>
        </w:trPr>
        <w:tc>
          <w:tcPr>
            <w:tcW w:w="3000"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Field</w:t>
            </w:r>
          </w:p>
        </w:tc>
        <w:tc>
          <w:tcPr>
            <w:tcW w:w="3319"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Example (Marta)</w:t>
            </w:r>
          </w:p>
        </w:tc>
        <w:tc>
          <w:tcPr>
            <w:tcW w:w="3319"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Your plan</w:t>
            </w:r>
          </w:p>
        </w:tc>
      </w:tr>
      <w:tr>
        <w:trPr>
          <w:trHeight w:val="800"/>
        </w:trPr>
        <w:tc>
          <w:tcPr>
            <w:tcW w:w="30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The pedagogical need: what goes wrong at the moment?</w:t>
            </w:r>
          </w:p>
        </w:tc>
        <w:tc>
          <w:tcPr>
            <w:tcW w:w="3319"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The misconception survives the textbook page; the key idea (tilt) is hard to show on a flat drawing</w:t>
            </w:r>
          </w:p>
        </w:tc>
        <w:tc>
          <w:tcPr>
            <w:tcW w:w="33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800"/>
        </w:trPr>
        <w:tc>
          <w:tcPr>
            <w:tcW w:w="30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Learning objective: what learners will be able to do afterwards</w:t>
            </w:r>
          </w:p>
        </w:tc>
        <w:tc>
          <w:tcPr>
            <w:tcW w:w="3319"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Explain, using a labelled diagram, that seasons are caused by the tilt of the Earth's axis and not by its distance from the Sun</w:t>
            </w:r>
          </w:p>
        </w:tc>
        <w:tc>
          <w:tcPr>
            <w:tcW w:w="33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800"/>
        </w:trPr>
        <w:tc>
          <w:tcPr>
            <w:tcW w:w="30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Why multimedia, and not something simpler? (your Activity 1.1 decision)</w:t>
            </w:r>
          </w:p>
        </w:tc>
        <w:tc>
          <w:tcPr>
            <w:tcW w:w="3319"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Tilt needs movement to be seen; the existing resources are too long, uncaptioned or cannot be adapted</w:t>
            </w:r>
          </w:p>
        </w:tc>
        <w:tc>
          <w:tcPr>
            <w:tcW w:w="33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bl>
    <w:p>
      <w:pPr>
        <w:spacing w:after="200"/>
      </w:pPr>
    </w:p>
    <w:p>
      <w:pPr>
        <w:pBdr>
          <w:top w:val="none" w:sz="0" w:space="0" w:color="FFFFFF"/>
          <w:left w:val="none" w:sz="0" w:space="0" w:color="FFFFFF"/>
          <w:bottom w:val="single" w:sz="12" w:space="1" w:color="2E75B6"/>
          <w:right w:val="none" w:sz="0" w:space="0" w:color="FFFFFF"/>
        </w:pBdr>
        <w:spacing w:before="300" w:after="100"/>
      </w:pPr>
      <w:r>
        <w:rPr>
          <w:b/>
          <w:bCs/>
          <w:color w:val="1F4E79"/>
          <w:sz w:val="26"/>
          <w:szCs w:val="26"/>
        </w:rPr>
        <w:t xml:space="preserve">Step 3: Provisional format</w:t>
      </w:r>
    </w:p>
    <w:p>
      <w:pPr>
        <w:spacing w:after="60"/>
      </w:pPr>
    </w:p>
    <w:p>
      <w:pPr>
        <w:spacing w:after="120"/>
      </w:pPr>
      <w:r>
        <w:rPr>
          <w:sz w:val="20"/>
          <w:szCs w:val="20"/>
        </w:rPr>
        <w:t xml:space="preserve">Tick one. You will confirm the format at the end of Unit 2.</w:t>
      </w:r>
    </w:p>
    <w:p>
      <w:pPr>
        <w:spacing w:before="60" w:after="60"/>
        <w:ind w:left="284" w:hanging="284"/>
      </w:pPr>
      <w:r>
        <w:rPr>
          <w:sz w:val="20"/>
          <w:szCs w:val="20"/>
        </w:rPr>
        <w:t xml:space="preserve">☐  A short multimedia educational video</w:t>
      </w:r>
    </w:p>
    <w:p>
      <w:pPr>
        <w:spacing w:before="60" w:after="60"/>
        <w:ind w:left="284" w:hanging="284"/>
      </w:pPr>
      <w:r>
        <w:rPr>
          <w:sz w:val="20"/>
          <w:szCs w:val="20"/>
        </w:rPr>
        <w:t xml:space="preserve">☐  A slide-based multimedia lesson (slides with embedded video, audio and images)</w:t>
      </w:r>
    </w:p>
    <w:p>
      <w:pPr>
        <w:spacing w:after="120"/>
      </w:pPr>
    </w:p>
    <w:p>
      <w:pPr>
        <w:spacing w:before="100" w:after="60"/>
      </w:pPr>
      <w:r>
        <w:rPr>
          <w:b/>
          <w:bCs/>
          <w:color w:val="444444"/>
          <w:sz w:val="21"/>
          <w:szCs w:val="21"/>
        </w:rPr>
        <w:t xml:space="preserve">Why this format suits your objective and learners (one or two sentences)</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spacing w:after="100"/>
      </w:pPr>
    </w:p>
    <w:p>
      <w:pPr>
        <w:pBdr>
          <w:top w:val="none" w:sz="0" w:space="0" w:color="FFFFFF"/>
          <w:left w:val="none" w:sz="0" w:space="0" w:color="FFFFFF"/>
          <w:bottom w:val="single" w:sz="12" w:space="1" w:color="2E75B6"/>
          <w:right w:val="none" w:sz="0" w:space="0" w:color="FFFFFF"/>
        </w:pBdr>
        <w:spacing w:before="300" w:after="100"/>
      </w:pPr>
      <w:r>
        <w:rPr>
          <w:b/>
          <w:bCs/>
          <w:color w:val="1F4E79"/>
          <w:sz w:val="26"/>
          <w:szCs w:val="26"/>
        </w:rPr>
        <w:t xml:space="preserve">Step 4: Media components and tools</w:t>
      </w:r>
    </w:p>
    <w:p>
      <w:pPr>
        <w:spacing w:after="60"/>
      </w:pPr>
    </w:p>
    <w:p>
      <w:pPr>
        <w:spacing w:after="120"/>
      </w:pPr>
      <w:r>
        <w:rPr>
          <w:sz w:val="20"/>
          <w:szCs w:val="20"/>
        </w:rPr>
        <w:t xml:space="preserve">Every Capstone has a visual component, a video component and an audio component. Say what each will do for the learner, whether you will create or adapt it, and which tool you will use. Every tool must have passed the Activity 1.4 checklist.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3338"/>
        <w:gridCol w:w="2300"/>
        <w:gridCol w:w="2300"/>
      </w:tblGrid>
      <w:tr>
        <w:trPr>
          <w:tblHeader/>
        </w:trPr>
        <w:tc>
          <w:tcPr>
            <w:tcW w:w="1700"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Component</w:t>
            </w:r>
          </w:p>
        </w:tc>
        <w:tc>
          <w:tcPr>
            <w:tcW w:w="3338"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What it does for the learner</w:t>
            </w:r>
          </w:p>
        </w:tc>
        <w:tc>
          <w:tcPr>
            <w:tcW w:w="2300"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Create or adapt? Source</w:t>
            </w:r>
          </w:p>
        </w:tc>
        <w:tc>
          <w:tcPr>
            <w:tcW w:w="2300"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Tool</w:t>
            </w:r>
          </w:p>
        </w:tc>
      </w:tr>
      <w:tr>
        <w:tc>
          <w:tcPr>
            <w:tcW w:w="17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Visual</w:t>
            </w:r>
          </w:p>
        </w:tc>
        <w:tc>
          <w:tcPr>
            <w:tcW w:w="3338"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Shows the tilted axis in summer and winter positions, with two labels</w:t>
            </w:r>
          </w:p>
        </w:tc>
        <w:tc>
          <w:tcPr>
            <w:tcW w:w="23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Adapt a CC0 diagram from Wikimedia Commons</w:t>
            </w:r>
          </w:p>
        </w:tc>
        <w:tc>
          <w:tcPr>
            <w:tcW w:w="23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GIMP</w:t>
            </w:r>
          </w:p>
        </w:tc>
      </w:tr>
      <w:tr>
        <w:trPr>
          <w:trHeight w:val="900"/>
        </w:trPr>
        <w:tc>
          <w:tcPr>
            <w:tcW w:w="17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i/>
                <w:iCs/>
                <w:color w:val="BBBBBB"/>
                <w:sz w:val="20"/>
                <w:szCs w:val="20"/>
              </w:rPr>
              <w:t xml:space="preserve">Visual</w:t>
            </w:r>
          </w:p>
        </w:tc>
        <w:tc>
          <w:tcPr>
            <w:tcW w:w="33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900"/>
        </w:trPr>
        <w:tc>
          <w:tcPr>
            <w:tcW w:w="17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i/>
                <w:iCs/>
                <w:color w:val="BBBBBB"/>
                <w:sz w:val="20"/>
                <w:szCs w:val="20"/>
              </w:rPr>
              <w:t xml:space="preserve">Video (60 to 120 s)</w:t>
            </w:r>
          </w:p>
        </w:tc>
        <w:tc>
          <w:tcPr>
            <w:tcW w:w="33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900"/>
        </w:trPr>
        <w:tc>
          <w:tcPr>
            <w:tcW w:w="17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i/>
                <w:iCs/>
                <w:color w:val="BBBBBB"/>
                <w:sz w:val="20"/>
                <w:szCs w:val="20"/>
              </w:rPr>
              <w:t xml:space="preserve">Audio</w:t>
            </w:r>
          </w:p>
        </w:tc>
        <w:tc>
          <w:tcPr>
            <w:tcW w:w="33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bl>
    <w:p>
      <w:pPr>
        <w:spacing w:after="200"/>
      </w:pPr>
    </w:p>
    <w:p>
      <w:pPr>
        <w:pBdr>
          <w:top w:val="none" w:sz="0" w:space="0" w:color="FFFFFF"/>
          <w:left w:val="none" w:sz="0" w:space="0" w:color="FFFFFF"/>
          <w:bottom w:val="single" w:sz="12" w:space="1" w:color="2E75B6"/>
          <w:right w:val="none" w:sz="0" w:space="0" w:color="FFFFFF"/>
        </w:pBdr>
        <w:spacing w:before="300" w:after="100"/>
      </w:pPr>
      <w:r>
        <w:rPr>
          <w:b/>
          <w:bCs/>
          <w:color w:val="1F4E79"/>
          <w:sz w:val="26"/>
          <w:szCs w:val="26"/>
        </w:rPr>
        <w:t xml:space="preserve">Step 5: Accessibility, language and two rules</w:t>
      </w:r>
    </w:p>
    <w:p>
      <w:pPr>
        <w:spacing w:after="60"/>
      </w:pPr>
    </w:p>
    <w:p>
      <w:pPr>
        <w:spacing w:before="100" w:after="60"/>
      </w:pPr>
      <w:r>
        <w:rPr>
          <w:b/>
          <w:bCs/>
          <w:color w:val="444444"/>
          <w:sz w:val="21"/>
          <w:szCs w:val="21"/>
        </w:rPr>
        <w:t xml:space="preserve">Accessibility: who might be unable to use this product, and what you will provide (captions, transcript, contrast, readable text size)</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spacing w:after="100"/>
      </w:pPr>
    </w:p>
    <w:p>
      <w:pPr>
        <w:spacing w:before="100" w:after="60"/>
      </w:pPr>
      <w:r>
        <w:rPr>
          <w:b/>
          <w:bCs/>
          <w:color w:val="444444"/>
          <w:sz w:val="21"/>
          <w:szCs w:val="21"/>
        </w:rPr>
        <w:t xml:space="preserve">Language: narration, subtitles and on-screen text. Could a colleague in another language section reuse it? What would they need to change?</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spacing w:after="100"/>
      </w:pPr>
    </w:p>
    <w:p>
      <w:pPr>
        <w:spacing w:before="60" w:after="60"/>
        <w:ind w:left="284" w:hanging="284"/>
      </w:pPr>
      <w:r>
        <w:rPr>
          <w:sz w:val="20"/>
          <w:szCs w:val="20"/>
        </w:rPr>
        <w:t xml:space="preserve">☐  My Capstone will not contain identifiable pupils: no faces, voices, names or work that can be traced to a pupil.</w:t>
      </w:r>
    </w:p>
    <w:p>
      <w:pPr>
        <w:spacing w:before="60" w:after="60"/>
        <w:ind w:left="284" w:hanging="284"/>
      </w:pPr>
      <w:r>
        <w:rPr>
          <w:sz w:val="20"/>
          <w:szCs w:val="20"/>
        </w:rPr>
        <w:t xml:space="preserve">☐  I will record the source and licence of every component in the log below as I collect it.</w:t>
      </w:r>
    </w:p>
    <w:p>
      <w:pPr>
        <w:spacing w:after="120"/>
      </w:pPr>
    </w:p>
    <w:p>
      <w:pPr>
        <w:pBdr>
          <w:top w:val="none" w:sz="0" w:space="0" w:color="FFFFFF"/>
          <w:left w:val="none" w:sz="0" w:space="0" w:color="FFFFFF"/>
          <w:bottom w:val="single" w:sz="12" w:space="1" w:color="2E75B6"/>
          <w:right w:val="none" w:sz="0" w:space="0" w:color="FFFFFF"/>
        </w:pBdr>
        <w:spacing w:before="300" w:after="100"/>
      </w:pPr>
      <w:r>
        <w:rPr>
          <w:b/>
          <w:bCs/>
          <w:color w:val="1F4E79"/>
          <w:sz w:val="26"/>
          <w:szCs w:val="26"/>
        </w:rPr>
        <w:t xml:space="preserve">Step 6: Resource and licence log, and initial rationale</w:t>
      </w:r>
    </w:p>
    <w:p>
      <w:pPr>
        <w:spacing w:after="60"/>
      </w:pPr>
    </w:p>
    <w:p>
      <w:pPr>
        <w:spacing w:after="120"/>
      </w:pPr>
      <w:r>
        <w:rPr>
          <w:sz w:val="20"/>
          <w:szCs w:val="20"/>
        </w:rPr>
        <w:t xml:space="preserve">Start the log now and add a row whenever you collect or make a component. In Unit 5 you will choose a licence for your whole Capstone that is compatible with every row.</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2400"/>
        <w:gridCol w:w="2438"/>
        <w:gridCol w:w="2400"/>
      </w:tblGrid>
      <w:tr>
        <w:trPr>
          <w:tblHeader/>
        </w:trPr>
        <w:tc>
          <w:tcPr>
            <w:tcW w:w="2400"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Component / file</w:t>
            </w:r>
          </w:p>
        </w:tc>
        <w:tc>
          <w:tcPr>
            <w:tcW w:w="2400"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Source or creator</w:t>
            </w:r>
          </w:p>
        </w:tc>
        <w:tc>
          <w:tcPr>
            <w:tcW w:w="2438"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Licence (exact, with version)</w:t>
            </w:r>
          </w:p>
        </w:tc>
        <w:tc>
          <w:tcPr>
            <w:tcW w:w="2400"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What I changed</w:t>
            </w:r>
          </w:p>
        </w:tc>
      </w:tr>
      <w:tr>
        <w:tc>
          <w:tcPr>
            <w:tcW w:w="24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North season.jpg (diagram)</w:t>
            </w:r>
          </w:p>
        </w:tc>
        <w:tc>
          <w:tcPr>
            <w:tcW w:w="24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Tauʻolunga, Wikimedia Commons</w:t>
            </w:r>
          </w:p>
        </w:tc>
        <w:tc>
          <w:tcPr>
            <w:tcW w:w="2438"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CC0 1.0</w:t>
            </w:r>
          </w:p>
        </w:tc>
        <w:tc>
          <w:tcPr>
            <w:tcW w:w="24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Cropped, two labels added</w:t>
            </w:r>
          </w:p>
        </w:tc>
      </w:tr>
      <w:tr>
        <w:trPr>
          <w:trHeight w:val="500"/>
        </w:trPr>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4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500"/>
        </w:trPr>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4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500"/>
        </w:trPr>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4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500"/>
        </w:trPr>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4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bl>
    <w:p>
      <w:pPr>
        <w:spacing w:after="200"/>
      </w:pPr>
    </w:p>
    <w:p>
      <w:pPr>
        <w:spacing w:before="100" w:after="60"/>
      </w:pPr>
      <w:r>
        <w:rPr>
          <w:b/>
          <w:bCs/>
          <w:color w:val="444444"/>
          <w:sz w:val="21"/>
          <w:szCs w:val="21"/>
        </w:rPr>
        <w:t xml:space="preserve">Initial rationale (150 to 200 words): the need, the objective, why this format and these components, and what the learner will be able to do that they cannot now</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spacing w:after="100"/>
      </w:pPr>
    </w:p>
    <w:p>
      <w:pPr>
        <w:pBdr>
          <w:top w:val="none" w:sz="0" w:space="0" w:color="FFFFFF"/>
          <w:left w:val="none" w:sz="0" w:space="0" w:color="FFFFFF"/>
          <w:bottom w:val="single" w:sz="12" w:space="1" w:color="2E75B6"/>
          <w:right w:val="none" w:sz="0" w:space="0" w:color="FFFFFF"/>
        </w:pBdr>
        <w:spacing w:before="300" w:after="100"/>
      </w:pPr>
      <w:r>
        <w:rPr>
          <w:b/>
          <w:bCs/>
          <w:color w:val="1F4E79"/>
          <w:sz w:val="26"/>
          <w:szCs w:val="26"/>
        </w:rPr>
        <w:t xml:space="preserve">Step 7: Check your work</w:t>
      </w:r>
    </w:p>
    <w:p>
      <w:pPr>
        <w:spacing w:after="60"/>
      </w:pPr>
    </w:p>
    <w:p>
      <w:pPr>
        <w:spacing w:before="60" w:after="60"/>
        <w:ind w:left="284" w:hanging="284"/>
      </w:pPr>
      <w:r>
        <w:rPr>
          <w:sz w:val="20"/>
          <w:szCs w:val="20"/>
        </w:rPr>
        <w:t xml:space="preserve">☐  My objective states what learners will be able to do, in a way I could check.</w:t>
      </w:r>
    </w:p>
    <w:p>
      <w:pPr>
        <w:spacing w:before="60" w:after="60"/>
        <w:ind w:left="284" w:hanging="284"/>
      </w:pPr>
      <w:r>
        <w:rPr>
          <w:sz w:val="20"/>
          <w:szCs w:val="20"/>
        </w:rPr>
        <w:t xml:space="preserve">☐  Each component has a job for the learner, not just a topic.</w:t>
      </w:r>
    </w:p>
    <w:p>
      <w:pPr>
        <w:spacing w:before="60" w:after="60"/>
        <w:ind w:left="284" w:hanging="284"/>
      </w:pPr>
      <w:r>
        <w:rPr>
          <w:sz w:val="20"/>
          <w:szCs w:val="20"/>
        </w:rPr>
        <w:t xml:space="preserve">☐  Every tool I plan to use passed the Activity 1.4 checklist.</w:t>
      </w:r>
    </w:p>
    <w:p>
      <w:pPr>
        <w:spacing w:before="60" w:after="60"/>
        <w:ind w:left="284" w:hanging="284"/>
      </w:pPr>
      <w:r>
        <w:rPr>
          <w:sz w:val="20"/>
          <w:szCs w:val="20"/>
        </w:rPr>
        <w:t xml:space="preserve">☐  I have planned captions, a transcript, readable text and sufficient contrast.</w:t>
      </w:r>
    </w:p>
    <w:p>
      <w:pPr>
        <w:spacing w:before="60" w:after="60"/>
        <w:ind w:left="284" w:hanging="284"/>
      </w:pPr>
      <w:r>
        <w:rPr>
          <w:sz w:val="20"/>
          <w:szCs w:val="20"/>
        </w:rPr>
        <w:t xml:space="preserve">☐  I have thought about the language of narration, subtitles and on-screen text.</w:t>
      </w:r>
    </w:p>
    <w:p>
      <w:pPr>
        <w:spacing w:before="60" w:after="60"/>
        <w:ind w:left="284" w:hanging="284"/>
      </w:pPr>
      <w:r>
        <w:rPr>
          <w:sz w:val="20"/>
          <w:szCs w:val="20"/>
        </w:rPr>
        <w:t xml:space="preserve">☐  The product contains no identifiable pupils, and my licence log has started.</w:t>
      </w:r>
    </w:p>
    <w:p>
      <w:pPr>
        <w:spacing w:before="60" w:after="60"/>
        <w:ind w:left="284" w:hanging="284"/>
      </w:pPr>
      <w:r>
        <w:rPr>
          <w:sz w:val="20"/>
          <w:szCs w:val="20"/>
        </w:rPr>
        <w:t xml:space="preserve">☐  My rationale is 150 to 200 words and explains why, not only what.</w:t>
      </w:r>
    </w:p>
    <w:p>
      <w:pPr>
        <w:spacing w:after="120"/>
      </w:pPr>
    </w:p>
    <w:p>
      <w:pPr>
        <w:spacing w:before="240" w:after="80"/>
      </w:pPr>
      <w:r>
        <w:rPr>
          <w:b/>
          <w:bCs/>
          <w:color w:val="1F4E79"/>
          <w:sz w:val="22"/>
          <w:szCs w:val="22"/>
        </w:rPr>
        <w:t xml:space="preserve">Notes</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sectPr w:rsidR="0044114F" w:rsidRPr="00C71D36">
      <w:headerReference w:type="default" r:id="rId7"/>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8D9C3A" w14:textId="77777777" w:rsidR="00C71D36" w:rsidRDefault="00C71D36">
      <w:r>
        <w:separator/>
      </w:r>
    </w:p>
  </w:endnote>
  <w:endnote w:type="continuationSeparator" w:id="0">
    <w:p w14:paraId="7B40265B" w14:textId="77777777" w:rsidR="00C71D36" w:rsidRDefault="00C71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7A39D" w14:textId="77777777" w:rsidR="0044114F" w:rsidRDefault="00C71D36">
    <w:pPr>
      <w:pBdr>
        <w:top w:val="single" w:sz="4" w:space="1" w:color="2E75B6"/>
        <w:left w:val="none" w:sz="0" w:space="0" w:color="FFFFFF"/>
        <w:bottom w:val="none" w:sz="0" w:space="0" w:color="FFFFFF"/>
        <w:right w:val="none" w:sz="0" w:space="0" w:color="FFFFFF"/>
      </w:pBdr>
      <w:spacing w:before="80"/>
      <w:jc w:val="center"/>
    </w:pPr>
    <w:r>
      <w:rPr>
        <w:color w:val="888888"/>
        <w:sz w:val="18"/>
        <w:szCs w:val="18"/>
      </w:rPr>
      <w:t xml:space="preserve">European </w:t>
    </w:r>
    <w:proofErr w:type="spellStart"/>
    <w:r>
      <w:rPr>
        <w:color w:val="888888"/>
        <w:sz w:val="18"/>
        <w:szCs w:val="18"/>
      </w:rPr>
      <w:t>Schools</w:t>
    </w:r>
    <w:proofErr w:type="spellEnd"/>
    <w:r>
      <w:rPr>
        <w:color w:val="888888"/>
        <w:sz w:val="18"/>
        <w:szCs w:val="18"/>
      </w:rPr>
      <w:t xml:space="preserve">  |  </w:t>
    </w:r>
    <w:proofErr w:type="spellStart"/>
    <w:r>
      <w:rPr>
        <w:color w:val="888888"/>
        <w:sz w:val="18"/>
        <w:szCs w:val="18"/>
      </w:rPr>
      <w:t>Page</w:t>
    </w:r>
    <w:proofErr w:type="spellEnd"/>
    <w:r>
      <w:rPr>
        <w:color w:val="888888"/>
        <w:sz w:val="18"/>
        <w:szCs w:val="18"/>
      </w:rPr>
      <w:t xml:space="preserve"> </w:t>
    </w:r>
    <w:r>
      <w:rPr>
        <w:color w:val="888888"/>
        <w:sz w:val="18"/>
        <w:szCs w:val="18"/>
      </w:rPr>
      <w:fldChar w:fldCharType="begin"/>
    </w:r>
    <w:r>
      <w:rPr>
        <w:color w:val="888888"/>
        <w:sz w:val="18"/>
        <w:szCs w:val="18"/>
      </w:rPr>
      <w:instrText>PAGE</w:instrText>
    </w:r>
    <w:r>
      <w:rPr>
        <w:color w:val="888888"/>
        <w:sz w:val="18"/>
        <w:szCs w:val="18"/>
      </w:rPr>
      <w:fldChar w:fldCharType="separate"/>
    </w:r>
    <w:r>
      <w:rPr>
        <w:noProof/>
        <w:color w:val="888888"/>
        <w:sz w:val="18"/>
        <w:szCs w:val="18"/>
      </w:rPr>
      <w:t>1</w:t>
    </w:r>
    <w:r>
      <w:rPr>
        <w:color w:val="888888"/>
        <w:sz w:val="18"/>
        <w:szCs w:val="18"/>
      </w:rPr>
      <w:fldChar w:fldCharType="end"/>
    </w:r>
    <w:r>
      <w:rPr>
        <w:color w:val="888888"/>
        <w:sz w:val="18"/>
        <w:szCs w:val="18"/>
      </w:rPr>
      <w:t xml:space="preserve"> of </w:t>
    </w:r>
    <w:r>
      <w:rPr>
        <w:color w:val="888888"/>
        <w:sz w:val="18"/>
        <w:szCs w:val="18"/>
      </w:rPr>
      <w:fldChar w:fldCharType="begin"/>
    </w:r>
    <w:r>
      <w:rPr>
        <w:color w:val="888888"/>
        <w:sz w:val="18"/>
        <w:szCs w:val="18"/>
      </w:rPr>
      <w:instrText>NUMPAGES</w:instrText>
    </w:r>
    <w:r>
      <w:rPr>
        <w:color w:val="888888"/>
        <w:sz w:val="18"/>
        <w:szCs w:val="18"/>
      </w:rPr>
      <w:fldChar w:fldCharType="separate"/>
    </w:r>
    <w:r>
      <w:rPr>
        <w:noProof/>
        <w:color w:val="888888"/>
        <w:sz w:val="18"/>
        <w:szCs w:val="18"/>
      </w:rPr>
      <w:t>2</w:t>
    </w:r>
    <w:r>
      <w:rPr>
        <w:color w:val="888888"/>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8716E" w14:textId="77777777" w:rsidR="00C71D36" w:rsidRDefault="00C71D36">
      <w:r>
        <w:separator/>
      </w:r>
    </w:p>
  </w:footnote>
  <w:footnote w:type="continuationSeparator" w:id="0">
    <w:p w14:paraId="2E60F48E" w14:textId="77777777" w:rsidR="00C71D36" w:rsidRDefault="00C71D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21EFF" w14:textId="32EB35F6" w:rsidR="0044114F" w:rsidRPr="00C71D36" w:rsidRDefault="00C71D36">
    <w:pPr>
      <w:pBdr>
        <w:top w:val="none" w:sz="0" w:space="0" w:color="FFFFFF"/>
        <w:left w:val="none" w:sz="0" w:space="0" w:color="FFFFFF"/>
        <w:bottom w:val="single" w:sz="4" w:space="1" w:color="2E75B6"/>
        <w:right w:val="none" w:sz="0" w:space="0" w:color="FFFFFF"/>
      </w:pBdr>
      <w:spacing w:after="80"/>
      <w:jc w:val="right"/>
      <w:rPr>
        <w:lang w:val="en-US"/>
      </w:rPr>
    </w:pPr>
    <w:r w:rsidRPr="00C71D36">
      <w:rPr>
        <w:color w:val="888888"/>
        <w:sz w:val="18"/>
        <w:szCs w:val="18"/>
        <w:lang w:val="en-US"/>
      </w:rPr>
      <w:t xml:space="preserve">Multimedia Design and Creation for Educators</w:t>
    </w:r>
    <w:proofErr w:type="gramStart"/>
    <w:r w:rsidRPr="00C71D36">
      <w:rPr>
        <w:color w:val="888888"/>
        <w:sz w:val="18"/>
        <w:szCs w:val="18"/>
        <w:lang w:val="en-US"/>
      </w:rPr>
      <w:t>  |</w:t>
    </w:r>
    <w:proofErr w:type="gramEnd"/>
    <w:r w:rsidRPr="00C71D36">
      <w:rPr>
        <w:color w:val="888888"/>
        <w:sz w:val="18"/>
        <w:szCs w:val="18"/>
        <w:lang w:val="en-US"/>
      </w:rPr>
      <w:t xml:space="preserve">  Activity 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462B58"/>
    <w:multiLevelType w:val="hybridMultilevel"/>
    <w:tmpl w:val="2A66FA20"/>
    <w:lvl w:ilvl="0" w:tplc="5E1E3E1A">
      <w:start w:val="1"/>
      <w:numFmt w:val="bullet"/>
      <w:lvlText w:val="●"/>
      <w:lvlJc w:val="left"/>
      <w:pPr>
        <w:ind w:left="720" w:hanging="360"/>
      </w:pPr>
    </w:lvl>
    <w:lvl w:ilvl="1" w:tplc="C62C0BBE">
      <w:start w:val="1"/>
      <w:numFmt w:val="bullet"/>
      <w:lvlText w:val="○"/>
      <w:lvlJc w:val="left"/>
      <w:pPr>
        <w:ind w:left="1440" w:hanging="360"/>
      </w:pPr>
    </w:lvl>
    <w:lvl w:ilvl="2" w:tplc="D2EEB39E">
      <w:start w:val="1"/>
      <w:numFmt w:val="bullet"/>
      <w:lvlText w:val="■"/>
      <w:lvlJc w:val="left"/>
      <w:pPr>
        <w:ind w:left="2160" w:hanging="360"/>
      </w:pPr>
    </w:lvl>
    <w:lvl w:ilvl="3" w:tplc="49B034CA">
      <w:start w:val="1"/>
      <w:numFmt w:val="bullet"/>
      <w:lvlText w:val="●"/>
      <w:lvlJc w:val="left"/>
      <w:pPr>
        <w:ind w:left="2880" w:hanging="360"/>
      </w:pPr>
    </w:lvl>
    <w:lvl w:ilvl="4" w:tplc="B64AE050">
      <w:start w:val="1"/>
      <w:numFmt w:val="bullet"/>
      <w:lvlText w:val="○"/>
      <w:lvlJc w:val="left"/>
      <w:pPr>
        <w:ind w:left="3600" w:hanging="360"/>
      </w:pPr>
    </w:lvl>
    <w:lvl w:ilvl="5" w:tplc="1E5C3100">
      <w:start w:val="1"/>
      <w:numFmt w:val="bullet"/>
      <w:lvlText w:val="■"/>
      <w:lvlJc w:val="left"/>
      <w:pPr>
        <w:ind w:left="4320" w:hanging="360"/>
      </w:pPr>
    </w:lvl>
    <w:lvl w:ilvl="6" w:tplc="4E6E5AB8">
      <w:start w:val="1"/>
      <w:numFmt w:val="bullet"/>
      <w:lvlText w:val="●"/>
      <w:lvlJc w:val="left"/>
      <w:pPr>
        <w:ind w:left="5040" w:hanging="360"/>
      </w:pPr>
    </w:lvl>
    <w:lvl w:ilvl="7" w:tplc="E118DB2C">
      <w:start w:val="1"/>
      <w:numFmt w:val="bullet"/>
      <w:lvlText w:val="●"/>
      <w:lvlJc w:val="left"/>
      <w:pPr>
        <w:ind w:left="5760" w:hanging="360"/>
      </w:pPr>
    </w:lvl>
    <w:lvl w:ilvl="8" w:tplc="E83E190C">
      <w:start w:val="1"/>
      <w:numFmt w:val="bullet"/>
      <w:lvlText w:val="●"/>
      <w:lvlJc w:val="left"/>
      <w:pPr>
        <w:ind w:left="6480" w:hanging="360"/>
      </w:pPr>
    </w:lvl>
  </w:abstractNum>
  <w:num w:numId="1" w16cid:durableId="63032574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14F"/>
    <w:rsid w:val="003C65EF"/>
    <w:rsid w:val="0044114F"/>
    <w:rsid w:val="00BA2370"/>
    <w:rsid w:val="00C71D3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168FE"/>
  <w15:docId w15:val="{BFD7899A-B55B-44D1-90B3-B87E79DA9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1A1A1A"/>
        <w:sz w:val="22"/>
        <w:szCs w:val="22"/>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Έντονο1"/>
    <w:qFormat/>
    <w:rPr>
      <w:b/>
      <w:bCs/>
    </w:rPr>
  </w:style>
  <w:style w:type="paragraph" w:styleId="a4">
    <w:name w:val="List Paragraph"/>
    <w:qFormat/>
  </w:style>
  <w:style w:type="character" w:styleId="-">
    <w:name w:val="Hyperlink"/>
    <w:uiPriority w:val="99"/>
    <w:unhideWhenUsed/>
    <w:rPr>
      <w:color w:val="0563C1"/>
      <w:u w:val="single"/>
    </w:rPr>
  </w:style>
  <w:style w:type="character" w:styleId="a5">
    <w:name w:val="footnote reference"/>
    <w:uiPriority w:val="99"/>
    <w:semiHidden/>
    <w:unhideWhenUsed/>
    <w:rPr>
      <w:vertAlign w:val="superscript"/>
    </w:rPr>
  </w:style>
  <w:style w:type="paragraph" w:styleId="a6">
    <w:name w:val="footnote text"/>
    <w:link w:val="Char"/>
    <w:uiPriority w:val="99"/>
    <w:semiHidden/>
    <w:unhideWhenUsed/>
    <w:rPr>
      <w:sz w:val="20"/>
      <w:szCs w:val="20"/>
    </w:rPr>
  </w:style>
  <w:style w:type="character" w:customStyle="1" w:styleId="Char">
    <w:name w:val="Κείμενο υποσημείωσης Char"/>
    <w:link w:val="a6"/>
    <w:uiPriority w:val="99"/>
    <w:semiHidden/>
    <w:unhideWhenUsed/>
    <w:rPr>
      <w:sz w:val="20"/>
      <w:szCs w:val="20"/>
    </w:rPr>
  </w:style>
  <w:style w:type="paragraph" w:styleId="a7">
    <w:name w:val="header"/>
    <w:basedOn w:val="a"/>
    <w:link w:val="Char0"/>
    <w:uiPriority w:val="99"/>
    <w:unhideWhenUsed/>
    <w:rsid w:val="00C71D36"/>
    <w:pPr>
      <w:tabs>
        <w:tab w:val="center" w:pos="4153"/>
        <w:tab w:val="right" w:pos="8306"/>
      </w:tabs>
    </w:pPr>
  </w:style>
  <w:style w:type="character" w:customStyle="1" w:styleId="Char0">
    <w:name w:val="Κεφαλίδα Char"/>
    <w:basedOn w:val="a0"/>
    <w:link w:val="a7"/>
    <w:uiPriority w:val="99"/>
    <w:rsid w:val="00C71D36"/>
  </w:style>
  <w:style w:type="paragraph" w:styleId="a8">
    <w:name w:val="footer"/>
    <w:basedOn w:val="a"/>
    <w:link w:val="Char1"/>
    <w:uiPriority w:val="99"/>
    <w:unhideWhenUsed/>
    <w:rsid w:val="00C71D36"/>
    <w:pPr>
      <w:tabs>
        <w:tab w:val="center" w:pos="4153"/>
        <w:tab w:val="right" w:pos="8306"/>
      </w:tabs>
    </w:pPr>
  </w:style>
  <w:style w:type="character" w:customStyle="1" w:styleId="Char1">
    <w:name w:val="Υποσέλιδο Char"/>
    <w:basedOn w:val="a0"/>
    <w:link w:val="a8"/>
    <w:uiPriority w:val="99"/>
    <w:rsid w:val="00C71D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386</Words>
  <Characters>2090</Characters>
  <Application>Microsoft Office Word</Application>
  <DocSecurity>0</DocSecurity>
  <Lines>17</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gavgeris@admin.grnet.gr</dc:creator>
  <cp:lastModifiedBy>George Avgeris</cp:lastModifiedBy>
  <cp:revision>3</cp:revision>
  <dcterms:created xsi:type="dcterms:W3CDTF">2026-03-03T13:35:00Z</dcterms:created>
  <dcterms:modified xsi:type="dcterms:W3CDTF">2026-03-03T13:40:00Z</dcterms:modified>
</cp:coreProperties>
</file>