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4E79"/>
            <w:tcMar>
              <w:top w:w="320" w:type="dxa"/>
              <w:left w:w="300" w:type="dxa"/>
              <w:bottom w:w="240" w:type="dxa"/>
              <w:right w:w="300" w:type="dxa"/>
            </w:tcMar>
          </w:tcPr>
          <w:p>
            <w:pPr>
              <w:spacing w:after="80"/>
            </w:pPr>
            <w:r>
              <w:rPr>
                <w:color w:val="90BFE0"/>
                <w:sz w:val="18"/>
                <w:szCs w:val="18"/>
              </w:rPr>
              <w:t xml:space="preserve">Multimedia Design and Creation for Educators</w:t>
            </w:r>
          </w:p>
          <w:p>
            <w:pPr>
              <w:spacing w:after="100"/>
            </w:pPr>
            <w:r>
              <w:rPr>
                <w:b/>
                <w:bCs/>
                <w:color w:val="FFFFFF"/>
                <w:sz w:val="38"/>
                <w:szCs w:val="38"/>
              </w:rPr>
              <w:t xml:space="preserve">Tool Choice and Data Protection Checklist</w:t>
            </w:r>
          </w:p>
          <w:p>
            <w:r>
              <w:rPr>
                <w:color w:val="90BFE0"/>
                <w:sz w:val="20"/>
                <w:szCs w:val="20"/>
              </w:rPr>
              <w:t xml:space="preserve">Activity 1.4  |  Unit 1, Chapter 3</w:t>
            </w:r>
          </w:p>
        </w:tc>
      </w:tr>
    </w:tbl>
    <w:p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>
        <w:tc>
          <w:tcPr>
            <w:tcW w:w="9638" w:type="dxa"/>
            <w:tcBorders>
              <w:top w:val="single" w:sz="1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6E4F0"/>
            <w:tcMar>
              <w:top w:w="160" w:type="dxa"/>
              <w:left w:w="220" w:type="dxa"/>
              <w:bottom w:w="160" w:type="dxa"/>
              <w:right w:w="220" w:type="dxa"/>
            </w:tcMar>
          </w:tcPr>
          <w:p>
            <w:r>
              <w:rPr>
                <w:b/>
                <w:bCs/>
                <w:color w:val="1F4E79"/>
                <w:sz w:val="20"/>
                <w:szCs w:val="20"/>
              </w:rPr>
              <w:t xml:space="preserve">About this template</w:t>
            </w:r>
          </w:p>
          <w:p>
            <w:pPr>
              <w:spacing w:before="80"/>
            </w:pPr>
          </w:p>
          <w:p>
            <w:pPr>
              <w:spacing w:before="80"/>
            </w:pPr>
            <w:r>
              <w:rPr>
                <w:sz w:val="20"/>
                <w:szCs w:val="20"/>
              </w:rPr>
              <w:t xml:space="preserve">Use this checklist for every tool you intend to use for your Capstone: an image editor, a video editor, an audio editor, and anything online you plan to upload material to. It takes a few minutes per tool, and it is what allows you to work in any tool you like during the course.</w:t>
            </w:r>
          </w:p>
          <w:p>
            <w:pPr>
              <w:spacing w:before="80"/>
            </w:pPr>
          </w:p>
          <w:p>
            <w:pPr>
              <w:spacing w:before="80"/>
            </w:pPr>
            <w:r>
              <w:rPr>
                <w:sz w:val="20"/>
                <w:szCs w:val="20"/>
              </w:rPr>
              <w:t xml:space="preserve">If you use only the demonstrated desktop tools (GIMP, OpenShot, Audacity) installed on your own computer, complete the short version in Step 1 and you are done. Upload the completed checklist to Activity 1.4. It is a completion requirement before Unit 2.</w:t>
            </w:r>
          </w:p>
        </w:tc>
      </w:tr>
    </w:tbl>
    <w:p>
      <w:pPr>
        <w:spacing w:after="200"/>
      </w:pPr>
    </w:p>
    <w:p>
      <w:pPr>
        <w:pBdr>
          <w:top w:val="none" w:sz="0" w:space="0" w:color="FFFFFF"/>
          <w:left w:val="none" w:sz="0" w:space="0" w:color="FFFFFF"/>
          <w:bottom w:val="single" w:sz="12" w:space="1" w:color="2E75B6"/>
          <w:right w:val="none" w:sz="0" w:space="0" w:color="FFFFFF"/>
        </w:pBdr>
        <w:spacing w:before="300" w:after="100"/>
      </w:pPr>
      <w:r>
        <w:rPr>
          <w:b/>
          <w:bCs/>
          <w:color w:val="1F4E79"/>
          <w:sz w:val="26"/>
          <w:szCs w:val="26"/>
        </w:rPr>
        <w:t xml:space="preserve">Step 1: Short version (demonstrated desktop tools only)</w:t>
      </w:r>
    </w:p>
    <w:p>
      <w:pPr>
        <w:spacing w:after="60"/>
      </w:pPr>
    </w:p>
    <w:p>
      <w:pPr>
        <w:spacing w:after="120"/>
      </w:pPr>
      <w:r>
        <w:rPr>
          <w:sz w:val="20"/>
          <w:szCs w:val="20"/>
        </w:rPr>
        <w:t xml:space="preserve">Tick each statement that is true. If all four are ticked, sign off the tool below and go to Step 4.</w:t>
      </w:r>
    </w:p>
    <w:p>
      <w:pPr>
        <w:spacing w:before="60" w:after="60"/>
        <w:ind w:left="284" w:hanging="284"/>
      </w:pPr>
      <w:r>
        <w:rPr>
          <w:sz w:val="20"/>
          <w:szCs w:val="20"/>
        </w:rPr>
        <w:t xml:space="preserve">☐  I downloaded the tool from its official website (gimp.org, openshot.org or audacityteam.org).</w:t>
      </w:r>
    </w:p>
    <w:p>
      <w:pPr>
        <w:spacing w:before="60" w:after="60"/>
        <w:ind w:left="284" w:hanging="284"/>
      </w:pPr>
      <w:r>
        <w:rPr>
          <w:sz w:val="20"/>
          <w:szCs w:val="20"/>
        </w:rPr>
        <w:t xml:space="preserve">☐  It runs on my own computer; my files are not uploaded anywhere when I edit them.</w:t>
      </w:r>
    </w:p>
    <w:p>
      <w:pPr>
        <w:spacing w:before="60" w:after="60"/>
        <w:ind w:left="284" w:hanging="284"/>
      </w:pPr>
      <w:r>
        <w:rPr>
          <w:sz w:val="20"/>
          <w:szCs w:val="20"/>
        </w:rPr>
        <w:t xml:space="preserve">☐  I have not enabled any optional cloud or AI add-on that sends my files elsewhere.</w:t>
      </w:r>
    </w:p>
    <w:p>
      <w:pPr>
        <w:spacing w:before="60" w:after="60"/>
        <w:ind w:left="284" w:hanging="284"/>
      </w:pPr>
      <w:r>
        <w:rPr>
          <w:sz w:val="20"/>
          <w:szCs w:val="20"/>
        </w:rPr>
        <w:t xml:space="preserve">☐  My school allows me to install software on this computer, or I am using a personal device.</w:t>
      </w:r>
    </w:p>
    <w:p>
      <w:pPr>
        <w:spacing w:after="120"/>
      </w:pPr>
    </w:p>
    <w:p>
      <w:pPr>
        <w:spacing w:before="100" w:after="60"/>
      </w:pPr>
      <w:r>
        <w:rPr>
          <w:b/>
          <w:bCs/>
          <w:color w:val="444444"/>
          <w:sz w:val="21"/>
          <w:szCs w:val="21"/>
        </w:rPr>
        <w:t xml:space="preserve">Tools covered by the short version</w:t>
      </w:r>
    </w:p>
    <w:p>
      <w:pPr>
        <w:pBdr>
          <w:top w:val="none" w:sz="0" w:space="0" w:color="FFFFFF"/>
          <w:left w:val="none" w:sz="0" w:space="0" w:color="FFFFFF"/>
          <w:bottom w:val="single" w:sz="4" w:space="1" w:color="AAAAAA"/>
          <w:right w:val="none" w:sz="0" w:space="0" w:color="FFFFFF"/>
        </w:pBdr>
        <w:spacing w:before="100" w:after="40"/>
      </w:pPr>
      <w:r>
        <w:t xml:space="preserve"> </w:t>
      </w:r>
    </w:p>
    <w:p>
      <w:pPr>
        <w:spacing w:after="100"/>
      </w:pPr>
    </w:p>
    <w:p>
      <w:pPr>
        <w:pBdr>
          <w:top w:val="none" w:sz="0" w:space="0" w:color="FFFFFF"/>
          <w:left w:val="none" w:sz="0" w:space="0" w:color="FFFFFF"/>
          <w:bottom w:val="single" w:sz="12" w:space="1" w:color="2E75B6"/>
          <w:right w:val="none" w:sz="0" w:space="0" w:color="FFFFFF"/>
        </w:pBdr>
        <w:spacing w:before="300" w:after="100"/>
      </w:pPr>
      <w:r>
        <w:rPr>
          <w:b/>
          <w:bCs/>
          <w:color w:val="1F4E79"/>
          <w:sz w:val="26"/>
          <w:szCs w:val="26"/>
        </w:rPr>
        <w:t xml:space="preserve">Step 2: Full check (any other tool)</w:t>
      </w:r>
    </w:p>
    <w:p>
      <w:pPr>
        <w:spacing w:after="60"/>
      </w:pPr>
    </w:p>
    <w:p>
      <w:pPr>
        <w:spacing w:after="120"/>
      </w:pPr>
      <w:r>
        <w:rPr>
          <w:sz w:val="20"/>
          <w:szCs w:val="20"/>
        </w:rPr>
        <w:t xml:space="preserve">Complete one column per tool. Find the answers in the tool's privacy policy, terms of use or help pages. Where you cannot find an answer, write "not stated": that is an answer too. The shaded column is a worked example.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38"/>
        <w:gridCol w:w="2200"/>
        <w:gridCol w:w="2200"/>
        <w:gridCol w:w="2200"/>
      </w:tblGrid>
      <w:tr>
        <w:trPr>
          <w:tblHeader/>
        </w:trPr>
        <w:tc>
          <w:tcPr>
            <w:tcW w:w="3038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Question</w:t>
            </w:r>
          </w:p>
        </w:tc>
        <w:tc>
          <w:tcPr>
            <w:tcW w:w="22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Example</w:t>
            </w:r>
          </w:p>
        </w:tc>
        <w:tc>
          <w:tcPr>
            <w:tcW w:w="22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Tool 1</w:t>
            </w:r>
          </w:p>
        </w:tc>
        <w:tc>
          <w:tcPr>
            <w:tcW w:w="22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Tool 2</w:t>
            </w:r>
          </w:p>
        </w:tc>
      </w:tr>
      <w:tr>
        <w:trPr>
          <w:trHeight w:val="700"/>
        </w:trPr>
        <w:tc>
          <w:tcPr>
            <w:tcW w:w="30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r>
              <w:rPr>
                <w:b/>
                <w:bCs/>
                <w:color w:val="444444"/>
                <w:sz w:val="20"/>
                <w:szCs w:val="20"/>
              </w:rPr>
              <w:t xml:space="preserve">Tool name and version / web address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r>
              <w:rPr>
                <w:i/>
                <w:iCs/>
                <w:color w:val="888888"/>
                <w:sz w:val="20"/>
                <w:szCs w:val="20"/>
              </w:rPr>
              <w:t xml:space="preserve">Online video editor X (web)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</w:tr>
      <w:tr>
        <w:trPr>
          <w:trHeight w:val="700"/>
        </w:trPr>
        <w:tc>
          <w:tcPr>
            <w:tcW w:w="30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r>
              <w:rPr>
                <w:b/>
                <w:bCs/>
                <w:color w:val="444444"/>
                <w:sz w:val="20"/>
                <w:szCs w:val="20"/>
              </w:rPr>
              <w:t xml:space="preserve">1. Where is my data stored? (on my device, EU, outside the EU, not stated)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r>
              <w:rPr>
                <w:i/>
                <w:iCs/>
                <w:color w:val="888888"/>
                <w:sz w:val="20"/>
                <w:szCs w:val="20"/>
              </w:rPr>
              <w:t xml:space="preserve">Cloud servers, United States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</w:tr>
      <w:tr>
        <w:trPr>
          <w:trHeight w:val="700"/>
        </w:trPr>
        <w:tc>
          <w:tcPr>
            <w:tcW w:w="30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r>
              <w:rPr>
                <w:b/>
                <w:bCs/>
                <w:color w:val="444444"/>
                <w:sz w:val="20"/>
                <w:szCs w:val="20"/>
              </w:rPr>
              <w:t xml:space="preserve">2. Do pupils need accounts to view or use what I make?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r>
              <w:rPr>
                <w:i/>
                <w:iCs/>
                <w:color w:val="888888"/>
                <w:sz w:val="20"/>
                <w:szCs w:val="20"/>
              </w:rPr>
              <w:t xml:space="preserve">No, but viewers see a sign-up prompt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</w:tr>
      <w:tr>
        <w:trPr>
          <w:trHeight w:val="700"/>
        </w:trPr>
        <w:tc>
          <w:tcPr>
            <w:tcW w:w="30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r>
              <w:rPr>
                <w:b/>
                <w:bCs/>
                <w:color w:val="444444"/>
                <w:sz w:val="20"/>
                <w:szCs w:val="20"/>
              </w:rPr>
              <w:t xml:space="preserve">3. Does the provider claim rights over what I upload? (read the licence clause in the terms)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r>
              <w:rPr>
                <w:i/>
                <w:iCs/>
                <w:color w:val="888888"/>
                <w:sz w:val="20"/>
                <w:szCs w:val="20"/>
              </w:rPr>
              <w:t xml:space="preserve">Broad licence to host, modify and promote uploads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</w:tr>
      <w:tr>
        <w:trPr>
          <w:trHeight w:val="700"/>
        </w:trPr>
        <w:tc>
          <w:tcPr>
            <w:tcW w:w="30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r>
              <w:rPr>
                <w:b/>
                <w:bCs/>
                <w:color w:val="444444"/>
                <w:sz w:val="20"/>
                <w:szCs w:val="20"/>
              </w:rPr>
              <w:t xml:space="preserve">4. Are my uploads used to train AI models? Can I opt out?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r>
              <w:rPr>
                <w:i/>
                <w:iCs/>
                <w:color w:val="888888"/>
                <w:sz w:val="20"/>
                <w:szCs w:val="20"/>
              </w:rPr>
              <w:t xml:space="preserve">Yes by default; opt-out in settings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</w:tr>
      <w:tr>
        <w:trPr>
          <w:trHeight w:val="700"/>
        </w:trPr>
        <w:tc>
          <w:tcPr>
            <w:tcW w:w="30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r>
              <w:rPr>
                <w:b/>
                <w:bCs/>
                <w:color w:val="444444"/>
                <w:sz w:val="20"/>
                <w:szCs w:val="20"/>
              </w:rPr>
              <w:t xml:space="preserve">5. Is processing covered by an EU basis or adequacy decision? (EU hosting, EU standard contractual clauses, EU-US Data Privacy Framework)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r>
              <w:rPr>
                <w:i/>
                <w:iCs/>
                <w:color w:val="888888"/>
                <w:sz w:val="20"/>
                <w:szCs w:val="20"/>
              </w:rPr>
              <w:t xml:space="preserve">States Data Privacy Framework certification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</w:tr>
      <w:tr>
        <w:trPr>
          <w:trHeight w:val="700"/>
        </w:trPr>
        <w:tc>
          <w:tcPr>
            <w:tcW w:w="30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r>
              <w:rPr>
                <w:b/>
                <w:bCs/>
                <w:color w:val="444444"/>
                <w:sz w:val="20"/>
                <w:szCs w:val="20"/>
              </w:rPr>
              <w:t xml:space="preserve">6. Is the tool already approved by my school or the European Schools system?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r>
              <w:rPr>
                <w:i/>
                <w:iCs/>
                <w:color w:val="888888"/>
                <w:sz w:val="20"/>
                <w:szCs w:val="20"/>
              </w:rPr>
              <w:t xml:space="preserve">Not on the school list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</w:tr>
      <w:tr>
        <w:trPr>
          <w:trHeight w:val="700"/>
        </w:trPr>
        <w:tc>
          <w:tcPr>
            <w:tcW w:w="30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r>
              <w:rPr>
                <w:b/>
                <w:bCs/>
                <w:color w:val="444444"/>
                <w:sz w:val="20"/>
                <w:szCs w:val="20"/>
              </w:rPr>
              <w:t xml:space="preserve">7. For AI tools: does it mark generated images, audio or video as AI-generated?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r>
              <w:rPr>
                <w:i/>
                <w:iCs/>
                <w:color w:val="888888"/>
                <w:sz w:val="20"/>
                <w:szCs w:val="20"/>
              </w:rPr>
              <w:t xml:space="preserve">Not applicable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</w:tr>
    </w:tbl>
    <w:p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>
        <w:tc>
          <w:tcPr>
            <w:tcW w:w="9638" w:type="dxa"/>
            <w:tcBorders>
              <w:top w:val="single" w:sz="1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6E4F0"/>
            <w:tcMar>
              <w:top w:w="160" w:type="dxa"/>
              <w:left w:w="220" w:type="dxa"/>
              <w:bottom w:w="160" w:type="dxa"/>
              <w:right w:w="220" w:type="dxa"/>
            </w:tcMar>
          </w:tcPr>
          <w:p>
            <w:pPr>
              <w:spacing w:before="80"/>
            </w:pPr>
            <w:r>
              <w:rPr>
                <w:b/>
                <w:bCs/>
                <w:sz w:val="20"/>
                <w:szCs w:val="20"/>
              </w:rPr>
              <w:t xml:space="preserve">Example continued.</w:t>
            </w:r>
            <w:r>
              <w:rPr>
                <w:sz w:val="20"/>
                <w:szCs w:val="20"/>
              </w:rPr>
              <w:t xml:space="preserve"> Decision: use for my own practice edits only; no material showing colleagues or pupils, no school logos. For the Capstone, use the desktop editor instead. Reason: uploads are licensed broadly to the provider and used for AI training by default.</w:t>
            </w:r>
          </w:p>
        </w:tc>
      </w:tr>
    </w:tbl>
    <w:p>
      <w:pPr>
        <w:spacing w:after="200"/>
      </w:pPr>
    </w:p>
    <w:p>
      <w:pPr>
        <w:pBdr>
          <w:top w:val="none" w:sz="0" w:space="0" w:color="FFFFFF"/>
          <w:left w:val="none" w:sz="0" w:space="0" w:color="FFFFFF"/>
          <w:bottom w:val="single" w:sz="12" w:space="1" w:color="2E75B6"/>
          <w:right w:val="none" w:sz="0" w:space="0" w:color="FFFFFF"/>
        </w:pBdr>
        <w:spacing w:before="300" w:after="100"/>
      </w:pPr>
      <w:r>
        <w:rPr>
          <w:b/>
          <w:bCs/>
          <w:color w:val="1F4E79"/>
          <w:sz w:val="26"/>
          <w:szCs w:val="26"/>
        </w:rPr>
        <w:t xml:space="preserve">Step 3: Your decision for each tool</w:t>
      </w:r>
    </w:p>
    <w:p>
      <w:pPr>
        <w:spacing w:after="60"/>
      </w:pPr>
    </w:p>
    <w:p>
      <w:pPr>
        <w:spacing w:after="120"/>
      </w:pPr>
      <w:r>
        <w:rPr>
          <w:sz w:val="20"/>
          <w:szCs w:val="20"/>
        </w:rPr>
        <w:t xml:space="preserve">For each tool, write one line: use it, use it with conditions (say which), or do not use it. Any "no" or "not stated" on questions 1, 3, 4 or 5 is a reason to use the tool only with material that contains no personal data, or not at all.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838"/>
      </w:tblGrid>
      <w:tr>
        <w:trPr>
          <w:tblHeader/>
        </w:trPr>
        <w:tc>
          <w:tcPr>
            <w:tcW w:w="28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Tool</w:t>
            </w:r>
          </w:p>
        </w:tc>
        <w:tc>
          <w:tcPr>
            <w:tcW w:w="6838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Decision and reason (one line)</w:t>
            </w:r>
          </w:p>
        </w:tc>
      </w:tr>
      <w:tr>
        <w:trPr>
          <w:trHeight w:val="600"/>
        </w:trPr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  <w:tc>
          <w:tcPr>
            <w:tcW w:w="68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</w:tr>
      <w:tr>
        <w:trPr>
          <w:trHeight w:val="600"/>
        </w:trPr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  <w:tc>
          <w:tcPr>
            <w:tcW w:w="68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</w:tr>
      <w:tr>
        <w:trPr>
          <w:trHeight w:val="600"/>
        </w:trPr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  <w:tc>
          <w:tcPr>
            <w:tcW w:w="68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</w:tr>
    </w:tbl>
    <w:p>
      <w:pPr>
        <w:spacing w:after="200"/>
      </w:pPr>
    </w:p>
    <w:p>
      <w:pPr>
        <w:pBdr>
          <w:top w:val="none" w:sz="0" w:space="0" w:color="FFFFFF"/>
          <w:left w:val="none" w:sz="0" w:space="0" w:color="FFFFFF"/>
          <w:bottom w:val="single" w:sz="12" w:space="1" w:color="2E75B6"/>
          <w:right w:val="none" w:sz="0" w:space="0" w:color="FFFFFF"/>
        </w:pBdr>
        <w:spacing w:before="300" w:after="100"/>
      </w:pPr>
      <w:r>
        <w:rPr>
          <w:b/>
          <w:bCs/>
          <w:color w:val="1F4E79"/>
          <w:sz w:val="26"/>
          <w:szCs w:val="26"/>
        </w:rPr>
        <w:t xml:space="preserve">Step 4: Confirm</w:t>
      </w:r>
    </w:p>
    <w:p>
      <w:pPr>
        <w:spacing w:after="60"/>
      </w:pPr>
    </w:p>
    <w:p>
      <w:pPr>
        <w:spacing w:before="60" w:after="60"/>
        <w:ind w:left="284" w:hanging="284"/>
      </w:pPr>
      <w:r>
        <w:rPr>
          <w:sz w:val="20"/>
          <w:szCs w:val="20"/>
        </w:rPr>
        <w:t xml:space="preserve">☐  I have checked every tool I plan to use for my Capstone.</w:t>
      </w:r>
    </w:p>
    <w:p>
      <w:pPr>
        <w:spacing w:before="60" w:after="60"/>
        <w:ind w:left="284" w:hanging="284"/>
      </w:pPr>
      <w:r>
        <w:rPr>
          <w:sz w:val="20"/>
          <w:szCs w:val="20"/>
        </w:rPr>
        <w:t xml:space="preserve">☐  I found each answer in the tool's own documents, or wrote "not stated".</w:t>
      </w:r>
    </w:p>
    <w:p>
      <w:pPr>
        <w:spacing w:before="60" w:after="60"/>
        <w:ind w:left="284" w:hanging="284"/>
      </w:pPr>
      <w:r>
        <w:rPr>
          <w:sz w:val="20"/>
          <w:szCs w:val="20"/>
        </w:rPr>
        <w:t xml:space="preserve">☐  None of my Capstone material will contain identifiable pupils, whatever tool I use.</w:t>
      </w:r>
    </w:p>
    <w:p>
      <w:pPr>
        <w:spacing w:before="60" w:after="60"/>
        <w:ind w:left="284" w:hanging="284"/>
      </w:pPr>
      <w:r>
        <w:rPr>
          <w:sz w:val="20"/>
          <w:szCs w:val="20"/>
        </w:rPr>
        <w:t xml:space="preserve">☐  If I change tool later in the course, I will run the new tool through this checklist first.</w:t>
      </w:r>
    </w:p>
    <w:p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>
        <w:tc>
          <w:tcPr>
            <w:tcW w:w="9638" w:type="dxa"/>
            <w:tcBorders>
              <w:top w:val="single" w:sz="1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6E4F0"/>
            <w:tcMar>
              <w:top w:w="160" w:type="dxa"/>
              <w:left w:w="220" w:type="dxa"/>
              <w:bottom w:w="160" w:type="dxa"/>
              <w:right w:w="220" w:type="dxa"/>
            </w:tcMar>
          </w:tcPr>
          <w:p>
            <w:pPr>
              <w:spacing w:before="80"/>
            </w:pPr>
            <w:r>
              <w:rPr>
                <w:b/>
                <w:bCs/>
                <w:sz w:val="20"/>
                <w:szCs w:val="20"/>
              </w:rPr>
              <w:t xml:space="preserve">Needs checking with your school.</w:t>
            </w:r>
            <w:r>
              <w:rPr>
                <w:sz w:val="20"/>
                <w:szCs w:val="20"/>
              </w:rPr>
              <w:t xml:space="preserve"> Your school may keep its own list of approved tools, or have a Data Protection Officer who can confirm question 6. Where the school rules are stricter than this checklist, the school rules apply.</w:t>
            </w:r>
          </w:p>
        </w:tc>
      </w:tr>
    </w:tbl>
    <w:p>
      <w:pPr>
        <w:spacing w:after="200"/>
      </w:pPr>
    </w:p>
    <w:p>
      <w:pPr>
        <w:spacing w:before="240" w:after="80"/>
      </w:pPr>
      <w:r>
        <w:rPr>
          <w:b/>
          <w:bCs/>
          <w:color w:val="1F4E79"/>
          <w:sz w:val="22"/>
          <w:szCs w:val="22"/>
        </w:rPr>
        <w:t xml:space="preserve">Notes</w:t>
      </w:r>
    </w:p>
    <w:p>
      <w:pPr>
        <w:pBdr>
          <w:top w:val="none" w:sz="0" w:space="0" w:color="FFFFFF"/>
          <w:left w:val="none" w:sz="0" w:space="0" w:color="FFFFFF"/>
          <w:bottom w:val="single" w:sz="4" w:space="1" w:color="AAAAAA"/>
          <w:right w:val="none" w:sz="0" w:space="0" w:color="FFFFFF"/>
        </w:pBdr>
        <w:spacing w:before="100" w:after="40"/>
      </w:pPr>
      <w:r>
        <w:t xml:space="preserve"> </w:t>
      </w:r>
    </w:p>
    <w:p>
      <w:pPr>
        <w:pBdr>
          <w:top w:val="none" w:sz="0" w:space="0" w:color="FFFFFF"/>
          <w:left w:val="none" w:sz="0" w:space="0" w:color="FFFFFF"/>
          <w:bottom w:val="single" w:sz="4" w:space="1" w:color="AAAAAA"/>
          <w:right w:val="none" w:sz="0" w:space="0" w:color="FFFFFF"/>
        </w:pBdr>
        <w:spacing w:before="100" w:after="40"/>
      </w:pPr>
      <w:r>
        <w:t xml:space="preserve"> </w:t>
      </w:r>
    </w:p>
    <w:p>
      <w:pPr>
        <w:pBdr>
          <w:top w:val="none" w:sz="0" w:space="0" w:color="FFFFFF"/>
          <w:left w:val="none" w:sz="0" w:space="0" w:color="FFFFFF"/>
          <w:bottom w:val="single" w:sz="4" w:space="1" w:color="AAAAAA"/>
          <w:right w:val="none" w:sz="0" w:space="0" w:color="FFFFFF"/>
        </w:pBdr>
        <w:spacing w:before="100" w:after="40"/>
      </w:pPr>
      <w:r>
        <w:t xml:space="preserve"> </w:t>
      </w:r>
    </w:p>
    <w:sectPr w:rsidR="0044114F" w:rsidRPr="00C71D36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D9C3A" w14:textId="77777777" w:rsidR="00C71D36" w:rsidRDefault="00C71D36">
      <w:r>
        <w:separator/>
      </w:r>
    </w:p>
  </w:endnote>
  <w:endnote w:type="continuationSeparator" w:id="0">
    <w:p w14:paraId="7B40265B" w14:textId="77777777" w:rsidR="00C71D36" w:rsidRDefault="00C71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7A39D" w14:textId="77777777" w:rsidR="0044114F" w:rsidRDefault="00C71D36">
    <w:pPr>
      <w:pBdr>
        <w:top w:val="single" w:sz="4" w:space="1" w:color="2E75B6"/>
        <w:left w:val="none" w:sz="0" w:space="0" w:color="FFFFFF"/>
        <w:bottom w:val="none" w:sz="0" w:space="0" w:color="FFFFFF"/>
        <w:right w:val="none" w:sz="0" w:space="0" w:color="FFFFFF"/>
      </w:pBdr>
      <w:spacing w:before="80"/>
      <w:jc w:val="center"/>
    </w:pPr>
    <w:r>
      <w:rPr>
        <w:color w:val="888888"/>
        <w:sz w:val="18"/>
        <w:szCs w:val="18"/>
      </w:rPr>
      <w:t xml:space="preserve">European </w:t>
    </w:r>
    <w:proofErr w:type="spellStart"/>
    <w:r>
      <w:rPr>
        <w:color w:val="888888"/>
        <w:sz w:val="18"/>
        <w:szCs w:val="18"/>
      </w:rPr>
      <w:t>Schools</w:t>
    </w:r>
    <w:proofErr w:type="spellEnd"/>
    <w:r>
      <w:rPr>
        <w:color w:val="888888"/>
        <w:sz w:val="18"/>
        <w:szCs w:val="18"/>
      </w:rPr>
      <w:t xml:space="preserve">  |  </w:t>
    </w:r>
    <w:proofErr w:type="spellStart"/>
    <w:r>
      <w:rPr>
        <w:color w:val="888888"/>
        <w:sz w:val="18"/>
        <w:szCs w:val="18"/>
      </w:rPr>
      <w:t>Page</w:t>
    </w:r>
    <w:proofErr w:type="spellEnd"/>
    <w:r>
      <w:rPr>
        <w:color w:val="888888"/>
        <w:sz w:val="18"/>
        <w:szCs w:val="18"/>
      </w:rPr>
      <w:t xml:space="preserve"> </w:t>
    </w:r>
    <w:r>
      <w:rPr>
        <w:color w:val="888888"/>
        <w:sz w:val="18"/>
        <w:szCs w:val="18"/>
      </w:rPr>
      <w:fldChar w:fldCharType="begin"/>
    </w:r>
    <w:r>
      <w:rPr>
        <w:color w:val="888888"/>
        <w:sz w:val="18"/>
        <w:szCs w:val="18"/>
      </w:rPr>
      <w:instrText>PAGE</w:instrText>
    </w:r>
    <w:r>
      <w:rPr>
        <w:color w:val="888888"/>
        <w:sz w:val="18"/>
        <w:szCs w:val="18"/>
      </w:rPr>
      <w:fldChar w:fldCharType="separate"/>
    </w:r>
    <w:r>
      <w:rPr>
        <w:noProof/>
        <w:color w:val="888888"/>
        <w:sz w:val="18"/>
        <w:szCs w:val="18"/>
      </w:rPr>
      <w:t>1</w:t>
    </w:r>
    <w:r>
      <w:rPr>
        <w:color w:val="888888"/>
        <w:sz w:val="18"/>
        <w:szCs w:val="18"/>
      </w:rPr>
      <w:fldChar w:fldCharType="end"/>
    </w:r>
    <w:r>
      <w:rPr>
        <w:color w:val="888888"/>
        <w:sz w:val="18"/>
        <w:szCs w:val="18"/>
      </w:rPr>
      <w:t xml:space="preserve"> of </w:t>
    </w:r>
    <w:r>
      <w:rPr>
        <w:color w:val="888888"/>
        <w:sz w:val="18"/>
        <w:szCs w:val="18"/>
      </w:rPr>
      <w:fldChar w:fldCharType="begin"/>
    </w:r>
    <w:r>
      <w:rPr>
        <w:color w:val="888888"/>
        <w:sz w:val="18"/>
        <w:szCs w:val="18"/>
      </w:rPr>
      <w:instrText>NUMPAGES</w:instrText>
    </w:r>
    <w:r>
      <w:rPr>
        <w:color w:val="888888"/>
        <w:sz w:val="18"/>
        <w:szCs w:val="18"/>
      </w:rPr>
      <w:fldChar w:fldCharType="separate"/>
    </w:r>
    <w:r>
      <w:rPr>
        <w:noProof/>
        <w:color w:val="888888"/>
        <w:sz w:val="18"/>
        <w:szCs w:val="18"/>
      </w:rPr>
      <w:t>2</w:t>
    </w:r>
    <w:r>
      <w:rPr>
        <w:color w:val="888888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8716E" w14:textId="77777777" w:rsidR="00C71D36" w:rsidRDefault="00C71D36">
      <w:r>
        <w:separator/>
      </w:r>
    </w:p>
  </w:footnote>
  <w:footnote w:type="continuationSeparator" w:id="0">
    <w:p w14:paraId="2E60F48E" w14:textId="77777777" w:rsidR="00C71D36" w:rsidRDefault="00C71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21EFF" w14:textId="32EB35F6" w:rsidR="0044114F" w:rsidRPr="00C71D36" w:rsidRDefault="00C71D36">
    <w:pPr>
      <w:pBdr>
        <w:top w:val="none" w:sz="0" w:space="0" w:color="FFFFFF"/>
        <w:left w:val="none" w:sz="0" w:space="0" w:color="FFFFFF"/>
        <w:bottom w:val="single" w:sz="4" w:space="1" w:color="2E75B6"/>
        <w:right w:val="none" w:sz="0" w:space="0" w:color="FFFFFF"/>
      </w:pBdr>
      <w:spacing w:after="80"/>
      <w:jc w:val="right"/>
      <w:rPr>
        <w:lang w:val="en-US"/>
      </w:rPr>
    </w:pPr>
    <w:r w:rsidRPr="00C71D36">
      <w:rPr>
        <w:color w:val="888888"/>
        <w:sz w:val="18"/>
        <w:szCs w:val="18"/>
        <w:lang w:val="en-US"/>
      </w:rPr>
      <w:t xml:space="preserve">Multimedia Design and Creation for Educators</w:t>
    </w:r>
    <w:proofErr w:type="gramStart"/>
    <w:r w:rsidRPr="00C71D36">
      <w:rPr>
        <w:color w:val="888888"/>
        <w:sz w:val="18"/>
        <w:szCs w:val="18"/>
        <w:lang w:val="en-US"/>
      </w:rPr>
      <w:t>  |</w:t>
    </w:r>
    <w:proofErr w:type="gramEnd"/>
    <w:r w:rsidRPr="00C71D36">
      <w:rPr>
        <w:color w:val="888888"/>
        <w:sz w:val="18"/>
        <w:szCs w:val="18"/>
        <w:lang w:val="en-US"/>
      </w:rPr>
      <w:t xml:space="preserve">  Activity 1.4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462B58"/>
    <w:multiLevelType w:val="hybridMultilevel"/>
    <w:tmpl w:val="2A66FA20"/>
    <w:lvl w:ilvl="0" w:tplc="5E1E3E1A">
      <w:start w:val="1"/>
      <w:numFmt w:val="bullet"/>
      <w:lvlText w:val="●"/>
      <w:lvlJc w:val="left"/>
      <w:pPr>
        <w:ind w:left="720" w:hanging="360"/>
      </w:pPr>
    </w:lvl>
    <w:lvl w:ilvl="1" w:tplc="C62C0BBE">
      <w:start w:val="1"/>
      <w:numFmt w:val="bullet"/>
      <w:lvlText w:val="○"/>
      <w:lvlJc w:val="left"/>
      <w:pPr>
        <w:ind w:left="1440" w:hanging="360"/>
      </w:pPr>
    </w:lvl>
    <w:lvl w:ilvl="2" w:tplc="D2EEB39E">
      <w:start w:val="1"/>
      <w:numFmt w:val="bullet"/>
      <w:lvlText w:val="■"/>
      <w:lvlJc w:val="left"/>
      <w:pPr>
        <w:ind w:left="2160" w:hanging="360"/>
      </w:pPr>
    </w:lvl>
    <w:lvl w:ilvl="3" w:tplc="49B034CA">
      <w:start w:val="1"/>
      <w:numFmt w:val="bullet"/>
      <w:lvlText w:val="●"/>
      <w:lvlJc w:val="left"/>
      <w:pPr>
        <w:ind w:left="2880" w:hanging="360"/>
      </w:pPr>
    </w:lvl>
    <w:lvl w:ilvl="4" w:tplc="B64AE050">
      <w:start w:val="1"/>
      <w:numFmt w:val="bullet"/>
      <w:lvlText w:val="○"/>
      <w:lvlJc w:val="left"/>
      <w:pPr>
        <w:ind w:left="3600" w:hanging="360"/>
      </w:pPr>
    </w:lvl>
    <w:lvl w:ilvl="5" w:tplc="1E5C3100">
      <w:start w:val="1"/>
      <w:numFmt w:val="bullet"/>
      <w:lvlText w:val="■"/>
      <w:lvlJc w:val="left"/>
      <w:pPr>
        <w:ind w:left="4320" w:hanging="360"/>
      </w:pPr>
    </w:lvl>
    <w:lvl w:ilvl="6" w:tplc="4E6E5AB8">
      <w:start w:val="1"/>
      <w:numFmt w:val="bullet"/>
      <w:lvlText w:val="●"/>
      <w:lvlJc w:val="left"/>
      <w:pPr>
        <w:ind w:left="5040" w:hanging="360"/>
      </w:pPr>
    </w:lvl>
    <w:lvl w:ilvl="7" w:tplc="E118DB2C">
      <w:start w:val="1"/>
      <w:numFmt w:val="bullet"/>
      <w:lvlText w:val="●"/>
      <w:lvlJc w:val="left"/>
      <w:pPr>
        <w:ind w:left="5760" w:hanging="360"/>
      </w:pPr>
    </w:lvl>
    <w:lvl w:ilvl="8" w:tplc="E83E190C">
      <w:start w:val="1"/>
      <w:numFmt w:val="bullet"/>
      <w:lvlText w:val="●"/>
      <w:lvlJc w:val="left"/>
      <w:pPr>
        <w:ind w:left="6480" w:hanging="360"/>
      </w:pPr>
    </w:lvl>
  </w:abstractNum>
  <w:num w:numId="1" w16cid:durableId="63032574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14F"/>
    <w:rsid w:val="003C65EF"/>
    <w:rsid w:val="0044114F"/>
    <w:rsid w:val="00BA2370"/>
    <w:rsid w:val="00C71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168FE"/>
  <w15:docId w15:val="{BFD7899A-B55B-44D1-90B3-B87E79DA9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1A1A1A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Έντονο1"/>
    <w:qFormat/>
    <w:rPr>
      <w:b/>
      <w:bCs/>
    </w:rPr>
  </w:style>
  <w:style w:type="paragraph" w:styleId="a4">
    <w:name w:val="List Paragraph"/>
    <w:qFormat/>
  </w:style>
  <w:style w:type="character" w:styleId="-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Κείμενο υποσημείωσης Char"/>
    <w:link w:val="a6"/>
    <w:uiPriority w:val="99"/>
    <w:semiHidden/>
    <w:unhideWhenUsed/>
    <w:rPr>
      <w:sz w:val="20"/>
      <w:szCs w:val="20"/>
    </w:rPr>
  </w:style>
  <w:style w:type="paragraph" w:styleId="a7">
    <w:name w:val="header"/>
    <w:basedOn w:val="a"/>
    <w:link w:val="Char0"/>
    <w:uiPriority w:val="99"/>
    <w:unhideWhenUsed/>
    <w:rsid w:val="00C71D36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rsid w:val="00C71D36"/>
  </w:style>
  <w:style w:type="paragraph" w:styleId="a8">
    <w:name w:val="footer"/>
    <w:basedOn w:val="a"/>
    <w:link w:val="Char1"/>
    <w:uiPriority w:val="99"/>
    <w:unhideWhenUsed/>
    <w:rsid w:val="00C71D36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rsid w:val="00C71D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386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gavgeris@admin.grnet.gr</dc:creator>
  <cp:lastModifiedBy>George Avgeris</cp:lastModifiedBy>
  <cp:revision>3</cp:revision>
  <dcterms:created xsi:type="dcterms:W3CDTF">2026-03-03T13:35:00Z</dcterms:created>
  <dcterms:modified xsi:type="dcterms:W3CDTF">2026-03-03T13:40:00Z</dcterms:modified>
</cp:coreProperties>
</file>